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eastAsia" w:ascii="方正小标宋简体" w:hAnsi="方正小标宋简体" w:eastAsia="方正小标宋简体" w:cs="方正小标宋简体"/>
          <w:kern w:val="0"/>
          <w:sz w:val="36"/>
          <w:szCs w:val="36"/>
          <w:lang w:val="en-US" w:eastAsia="zh-CN" w:bidi="ar"/>
        </w:rPr>
      </w:pPr>
      <w:r>
        <w:rPr>
          <w:rFonts w:hint="eastAsia" w:ascii="方正小标宋简体" w:hAnsi="方正小标宋简体" w:eastAsia="方正小标宋简体" w:cs="方正小标宋简体"/>
          <w:kern w:val="0"/>
          <w:sz w:val="36"/>
          <w:szCs w:val="36"/>
          <w:lang w:eastAsia="zh-CN" w:bidi="ar"/>
        </w:rPr>
        <w:t>附件</w:t>
      </w:r>
      <w:r>
        <w:rPr>
          <w:rFonts w:hint="eastAsia" w:ascii="方正小标宋简体" w:hAnsi="方正小标宋简体" w:eastAsia="方正小标宋简体" w:cs="方正小标宋简体"/>
          <w:kern w:val="0"/>
          <w:sz w:val="36"/>
          <w:szCs w:val="36"/>
          <w:lang w:val="en-US" w:eastAsia="zh-CN" w:bidi="ar"/>
        </w:rPr>
        <w:t>2</w:t>
      </w:r>
    </w:p>
    <w:p>
      <w:pPr>
        <w:widowControl/>
        <w:spacing w:line="560" w:lineRule="exact"/>
        <w:jc w:val="left"/>
        <w:rPr>
          <w:rFonts w:hint="default" w:ascii="方正小标宋简体" w:hAnsi="方正小标宋简体" w:eastAsia="方正小标宋简体" w:cs="方正小标宋简体"/>
          <w:kern w:val="0"/>
          <w:sz w:val="36"/>
          <w:szCs w:val="36"/>
          <w:lang w:val="en-US" w:eastAsia="zh-CN" w:bidi="ar"/>
        </w:rPr>
      </w:pPr>
    </w:p>
    <w:p>
      <w:pPr>
        <w:widowControl/>
        <w:spacing w:line="560" w:lineRule="exact"/>
        <w:jc w:val="center"/>
        <w:rPr>
          <w:rFonts w:hint="eastAsia" w:ascii="方正小标宋简体" w:hAnsi="方正小标宋简体" w:eastAsia="方正小标宋简体" w:cs="方正小标宋简体"/>
          <w:kern w:val="0"/>
          <w:sz w:val="36"/>
          <w:szCs w:val="36"/>
          <w:lang w:bidi="ar"/>
        </w:rPr>
      </w:pPr>
      <w:r>
        <w:rPr>
          <w:rFonts w:hint="eastAsia" w:ascii="方正小标宋简体" w:hAnsi="方正小标宋简体" w:eastAsia="方正小标宋简体" w:cs="方正小标宋简体"/>
          <w:kern w:val="0"/>
          <w:sz w:val="36"/>
          <w:szCs w:val="36"/>
          <w:lang w:bidi="ar"/>
        </w:rPr>
        <w:t>融发·菁英</w:t>
      </w:r>
      <w:bookmarkStart w:id="0" w:name="_GoBack"/>
      <w:bookmarkEnd w:id="0"/>
      <w:r>
        <w:rPr>
          <w:rFonts w:hint="eastAsia" w:ascii="方正小标宋简体" w:hAnsi="方正小标宋简体" w:eastAsia="方正小标宋简体" w:cs="方正小标宋简体"/>
          <w:kern w:val="0"/>
          <w:sz w:val="36"/>
          <w:szCs w:val="36"/>
          <w:lang w:bidi="ar"/>
        </w:rPr>
        <w:t>汇项目备案、按揭、办证</w:t>
      </w:r>
    </w:p>
    <w:p>
      <w:pPr>
        <w:ind w:firstLine="720" w:firstLineChars="200"/>
        <w:jc w:val="center"/>
        <w:rPr>
          <w:rFonts w:hint="eastAsia" w:ascii="仿宋_GB2312" w:hAnsi="仿宋_GB2312" w:eastAsia="方正小标宋简体" w:cs="仿宋_GB2312"/>
          <w:sz w:val="36"/>
          <w:szCs w:val="36"/>
          <w:highlight w:val="yellow"/>
          <w:lang w:eastAsia="zh-CN"/>
        </w:rPr>
      </w:pPr>
      <w:r>
        <w:rPr>
          <w:rFonts w:hint="eastAsia" w:ascii="方正小标宋简体" w:hAnsi="方正小标宋简体" w:eastAsia="方正小标宋简体" w:cs="方正小标宋简体"/>
          <w:kern w:val="0"/>
          <w:sz w:val="36"/>
          <w:szCs w:val="36"/>
          <w:lang w:bidi="ar"/>
        </w:rPr>
        <w:t>代办服务</w:t>
      </w:r>
      <w:r>
        <w:rPr>
          <w:rFonts w:hint="eastAsia" w:ascii="方正小标宋简体" w:hAnsi="方正小标宋简体" w:eastAsia="方正小标宋简体" w:cs="方正小标宋简体"/>
          <w:kern w:val="0"/>
          <w:sz w:val="36"/>
          <w:szCs w:val="36"/>
          <w:lang w:eastAsia="zh-CN" w:bidi="ar"/>
        </w:rPr>
        <w:t>内容</w:t>
      </w:r>
    </w:p>
    <w:p>
      <w:pPr>
        <w:ind w:firstLine="640" w:firstLineChars="200"/>
        <w:rPr>
          <w:rFonts w:hint="default" w:ascii="仿宋_GB2312" w:hAnsi="仿宋_GB2312" w:eastAsia="仿宋_GB2312" w:cs="仿宋_GB2312"/>
          <w:sz w:val="32"/>
          <w:szCs w:val="40"/>
          <w:highlight w:val="none"/>
          <w:lang w:val="en-US" w:eastAsia="zh-CN"/>
        </w:rPr>
      </w:pPr>
    </w:p>
    <w:tbl>
      <w:tblPr>
        <w:tblStyle w:val="6"/>
        <w:tblW w:w="822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27"/>
        <w:gridCol w:w="69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227" w:type="dxa"/>
            <w:tcBorders>
              <w:top w:val="single" w:color="000000" w:sz="4" w:space="0"/>
              <w:left w:val="single" w:color="000000" w:sz="8" w:space="0"/>
              <w:bottom w:val="single" w:color="000000" w:sz="4" w:space="0"/>
              <w:right w:val="single" w:color="000000" w:sz="4" w:space="0"/>
            </w:tcBorders>
            <w:shd w:val="clear" w:color="auto" w:fill="10344E"/>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FFFFFF"/>
                <w:sz w:val="18"/>
                <w:szCs w:val="18"/>
                <w:u w:val="none"/>
              </w:rPr>
            </w:pPr>
            <w:r>
              <w:rPr>
                <w:rFonts w:hint="eastAsia" w:ascii="仿宋_GB2312" w:hAnsi="仿宋_GB2312" w:eastAsia="仿宋_GB2312" w:cs="仿宋_GB2312"/>
                <w:b/>
                <w:bCs/>
                <w:i w:val="0"/>
                <w:iCs w:val="0"/>
                <w:color w:val="FFFFFF"/>
                <w:kern w:val="0"/>
                <w:sz w:val="18"/>
                <w:szCs w:val="18"/>
                <w:u w:val="none"/>
                <w:lang w:val="en-US" w:eastAsia="zh-CN" w:bidi="ar"/>
              </w:rPr>
              <w:t>服 务 项 目</w:t>
            </w:r>
          </w:p>
        </w:tc>
        <w:tc>
          <w:tcPr>
            <w:tcW w:w="6996" w:type="dxa"/>
            <w:tcBorders>
              <w:top w:val="single" w:color="000000" w:sz="4" w:space="0"/>
              <w:left w:val="single" w:color="000000" w:sz="4" w:space="0"/>
              <w:bottom w:val="single" w:color="000000" w:sz="4" w:space="0"/>
              <w:right w:val="single" w:color="000000" w:sz="4" w:space="0"/>
            </w:tcBorders>
            <w:shd w:val="clear" w:color="auto" w:fill="10344E"/>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FFFFFF"/>
                <w:sz w:val="18"/>
                <w:szCs w:val="18"/>
                <w:u w:val="none"/>
              </w:rPr>
            </w:pPr>
            <w:r>
              <w:rPr>
                <w:rFonts w:hint="eastAsia" w:ascii="仿宋_GB2312" w:hAnsi="仿宋_GB2312" w:eastAsia="仿宋_GB2312" w:cs="仿宋_GB2312"/>
                <w:b/>
                <w:bCs/>
                <w:i w:val="0"/>
                <w:iCs w:val="0"/>
                <w:color w:val="FFFFFF"/>
                <w:kern w:val="0"/>
                <w:sz w:val="18"/>
                <w:szCs w:val="18"/>
                <w:u w:val="none"/>
                <w:lang w:val="en-US" w:eastAsia="zh-CN" w:bidi="ar"/>
              </w:rPr>
              <w:t>服 务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restart"/>
            <w:tcBorders>
              <w:top w:val="single" w:color="000000" w:sz="4" w:space="0"/>
              <w:left w:val="single" w:color="000000" w:sz="8" w:space="0"/>
              <w:bottom w:val="single" w:color="000000" w:sz="4" w:space="0"/>
              <w:right w:val="single" w:color="000000" w:sz="4" w:space="0"/>
            </w:tcBorders>
            <w:shd w:val="clear" w:color="auto" w:fill="8497B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合同签约服务</w:t>
            </w:r>
          </w:p>
        </w:tc>
        <w:tc>
          <w:tcPr>
            <w:tcW w:w="6996" w:type="dxa"/>
            <w:tcBorders>
              <w:top w:val="single" w:color="000000" w:sz="4" w:space="0"/>
              <w:left w:val="single" w:color="000000" w:sz="4" w:space="0"/>
              <w:bottom w:val="single" w:color="000000" w:sz="4" w:space="0"/>
              <w:right w:val="single" w:color="000000" w:sz="4" w:space="0"/>
            </w:tcBorders>
            <w:shd w:val="clear" w:color="auto" w:fill="8497B0"/>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一、签约准备阶段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1）甲方所售项目取得预测成果后，配合甲方完成住建系统的监管协议、预售证信息录入、房屋信息建项录入工作；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2）所售项目取得预售许可证后（甲方自行办理预售许可证），代表甲方向项目所属房产局办妥项目登陆号（UK费用由甲方承担）；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3）在项目开盘前，协助甲方及物业管理公司确定拟与客户签订的购房合同（公共部分）、前期物业服务协议、业主临时公约等需与客户签署的标准文本，提供签专业法务意见；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4）按甲方实际需求起草和制定签约现场公示资料（签约须知、温馨提示、签约流程、客户指引等相关资料）；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5）在项目开盘阶段，协助销售案场准备开盘签约资料，参与项目开盘前签约资料风险检查，并给出专业法律意见，并对销售员开展签约流程培训，提供签约专业法务意见；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6）定期收集并更新各类房地局、不动产登记局等部门购房、抵押政策，并及时向甲方汇报与反馈；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7）应甲方及客户需要，解答关于客户购房主体资格方面的法律咨询：如外国、港澳台地区单位、个人等特殊群体向甲方购房，就其是否具备购房主体资格向甲方提供法律咨询意见；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8）在甲方项目开盘前，根据甲方项目提供的合同要素制作样本合同，经甲方确定最终合同模板后录入网签系统；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9）催促甲方移交签约资料，准备签约楼栋一户一档的资料案袋，制作新开楼栋客户资料签收本及客户签约归档的资料档案盒；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10）将开盘移交的签约资料建立留存档案；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11）根据甲方需要，到开盘现场为客户提供咨询及集签服务；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12）完成数据台账及各类报表模板的搭建。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8497B0"/>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二、签约阶段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1）接待客户，收取客户所提供的签约资料和身份证明等，形式上审查客户的主体资格；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2）根据客户提供的身份证明、销售员移交的认购签约资料，录入客户购房资格信息，持续跟进客户购房资格审核进度并反馈甲方；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3）引导客户先办理银行按揭，银行按揭经理在流程单上签字确认。协助复核客户的银行按揭资料； 引导客户到签约财务区缴纳首付款以及税费后，财务开具财务发票、收据，签约财务区收款人在流程单上签字确认，方可办理签约手续；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4）在房管局备案系统上进行网上合同编辑及打印相关备案表单，保证合同信息的准确性；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5）持续跟进客户契维缴纳入账情况，及时推送网签合同，并持续跟进以及向销售团队反馈每日网签完成情况；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6）客户签署的买卖合同及时完成签章手续；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7）按甲方要求，完成客户签约资料档案的整理、归档、保管工作，保证一户一档，并将客户档案放在指定区域。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8497B0"/>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三、签约完成阶段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1）按照甲方要求负责签约台账跟进，以及签约质量等统计工作，按甲方要求提供签约日志、整体和阶段性的签约分析；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2）对已经完成签约的客户合同进行统一规范化管理，并统一、及时、有效移交甲方档案管理员；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3）及时更新销售系统及房地产市场管理信息系统，保证数据准确无误。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restart"/>
            <w:tcBorders>
              <w:top w:val="single" w:color="000000" w:sz="4" w:space="0"/>
              <w:left w:val="single" w:color="000000" w:sz="8" w:space="0"/>
              <w:bottom w:val="single" w:color="000000" w:sz="4" w:space="0"/>
              <w:right w:val="single" w:color="000000" w:sz="4" w:space="0"/>
            </w:tcBorders>
            <w:shd w:val="clear" w:color="auto" w:fill="8497B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合同备案预告服务</w:t>
            </w: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1）代表甲方向主管部门办理商品房预售合同备案（预告登记）手续；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2）《商品房买卖合同》经买卖双方签字盖章生效后，将合同及备案资料上传网签系统完成合同备案手续；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3）协调、维系房产部门正常的公共关系；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4）特殊情况下合同异动相关手续的办理。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7" w:type="dxa"/>
            <w:vMerge w:val="restart"/>
            <w:tcBorders>
              <w:top w:val="single" w:color="000000" w:sz="4" w:space="0"/>
              <w:left w:val="single" w:color="000000" w:sz="8" w:space="0"/>
              <w:bottom w:val="single" w:color="000000" w:sz="4" w:space="0"/>
              <w:right w:val="single" w:color="000000" w:sz="4" w:space="0"/>
            </w:tcBorders>
            <w:shd w:val="clear" w:color="auto" w:fill="8497B0"/>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回款服务</w:t>
            </w: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1）若客户认购未按认购约定缴纳购房首付（全）款及办理签约手续，提供有效催款方案，代理甲方向客户发出催款、催签函件；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noWrap/>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2）对于签约时有款项未交齐及缺按揭资料的客户，提供有效催款方案，配合甲方催收；若客户未按《商品房购房合同》要求缴纳房款，或因征信问题等其他原因造成银行不能提供按揭贷款，代理甲方向客户发出催签、催款函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noWrap/>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3）与银行对接客户贷款进度（差资料情况、审批进度和结果、放款客户名单等），按照甲方的要求更新按揭台账，以及回款质量等统计工作，按甲方要求提供回款日志，整体和阶段性的回款分析；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noWrap/>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4）客户签约当日将盖章后的商品房买卖合同及其他相关资料移交银行办理抵押贷款进行签收登记，将登陆房地产市场管理信息系统将客户信息发送至银行人员账号；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227" w:type="dxa"/>
            <w:vMerge w:val="continue"/>
            <w:tcBorders>
              <w:top w:val="single" w:color="000000" w:sz="4" w:space="0"/>
              <w:left w:val="single" w:color="000000" w:sz="8" w:space="0"/>
              <w:bottom w:val="single" w:color="000000" w:sz="4" w:space="0"/>
              <w:right w:val="single" w:color="000000" w:sz="4" w:space="0"/>
            </w:tcBorders>
            <w:shd w:val="clear" w:color="auto" w:fill="8497B0"/>
            <w:noWrap/>
            <w:vAlign w:val="center"/>
          </w:tcPr>
          <w:p>
            <w:pPr>
              <w:jc w:val="center"/>
              <w:rPr>
                <w:rFonts w:hint="eastAsia" w:ascii="仿宋_GB2312" w:hAnsi="仿宋_GB2312" w:eastAsia="仿宋_GB2312" w:cs="仿宋_GB2312"/>
                <w:b/>
                <w:bCs/>
                <w:i w:val="0"/>
                <w:iCs w:val="0"/>
                <w:color w:val="000000"/>
                <w:sz w:val="18"/>
                <w:szCs w:val="18"/>
                <w:u w:val="none"/>
              </w:rPr>
            </w:pP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5）与银行进行资料交接，包括但不限于监管证明、贷款合同、抵押表、授权书等，并进行签收登记。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1227" w:type="dxa"/>
            <w:tcBorders>
              <w:top w:val="single" w:color="000000" w:sz="4" w:space="0"/>
              <w:left w:val="single" w:color="000000" w:sz="8" w:space="0"/>
              <w:bottom w:val="single" w:color="000000" w:sz="4" w:space="0"/>
              <w:right w:val="single" w:color="000000" w:sz="4" w:space="0"/>
            </w:tcBorders>
            <w:shd w:val="clear" w:color="auto" w:fill="8497B0"/>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公积金专项服务</w:t>
            </w: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初审贷款资料-面签-进件-跟进公积金审批至放款阶段相关事项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1227" w:type="dxa"/>
            <w:tcBorders>
              <w:top w:val="single" w:color="000000" w:sz="4" w:space="0"/>
              <w:left w:val="single" w:color="000000" w:sz="8" w:space="0"/>
              <w:bottom w:val="single" w:color="000000" w:sz="4" w:space="0"/>
              <w:right w:val="single" w:color="000000" w:sz="4" w:space="0"/>
            </w:tcBorders>
            <w:shd w:val="clear" w:color="auto" w:fill="8497B0"/>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权证服务</w:t>
            </w:r>
          </w:p>
        </w:tc>
        <w:tc>
          <w:tcPr>
            <w:tcW w:w="6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小业主产证办理：接收办证资料-整理办证资料-面签-递交办理-费用缴纳-办结移交</w:t>
            </w:r>
          </w:p>
        </w:tc>
      </w:tr>
    </w:tbl>
    <w:p>
      <w:pPr>
        <w:rPr>
          <w:rFonts w:hint="eastAsia" w:ascii="仿宋_GB2312" w:hAnsi="仿宋_GB2312" w:eastAsia="仿宋_GB2312" w:cs="仿宋_GB2312"/>
          <w:sz w:val="32"/>
          <w:szCs w:val="32"/>
          <w:highlight w:val="yellow"/>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1NzI4NThiZWNmM2JlNzBkOTcwYWJhNGEzNzFmYzgifQ=="/>
  </w:docVars>
  <w:rsids>
    <w:rsidRoot w:val="12905AE3"/>
    <w:rsid w:val="00176317"/>
    <w:rsid w:val="00205B86"/>
    <w:rsid w:val="00465C65"/>
    <w:rsid w:val="004C622E"/>
    <w:rsid w:val="00671E8B"/>
    <w:rsid w:val="0069066D"/>
    <w:rsid w:val="008048F0"/>
    <w:rsid w:val="008738FD"/>
    <w:rsid w:val="00875090"/>
    <w:rsid w:val="0089765C"/>
    <w:rsid w:val="009F3022"/>
    <w:rsid w:val="00AD63BE"/>
    <w:rsid w:val="00B54918"/>
    <w:rsid w:val="00BD0F79"/>
    <w:rsid w:val="00CB7AB4"/>
    <w:rsid w:val="00E50BC2"/>
    <w:rsid w:val="00E7189B"/>
    <w:rsid w:val="00F10347"/>
    <w:rsid w:val="010A6E15"/>
    <w:rsid w:val="02355837"/>
    <w:rsid w:val="02C24BF1"/>
    <w:rsid w:val="045E5CBF"/>
    <w:rsid w:val="053A13B6"/>
    <w:rsid w:val="06C278B5"/>
    <w:rsid w:val="08935065"/>
    <w:rsid w:val="08A234FA"/>
    <w:rsid w:val="0A420FE1"/>
    <w:rsid w:val="0BB91287"/>
    <w:rsid w:val="0C126BE9"/>
    <w:rsid w:val="0D2546FA"/>
    <w:rsid w:val="0EAF125F"/>
    <w:rsid w:val="12905AE3"/>
    <w:rsid w:val="13F15336"/>
    <w:rsid w:val="14391CDD"/>
    <w:rsid w:val="151E545D"/>
    <w:rsid w:val="165278F6"/>
    <w:rsid w:val="17B84AE8"/>
    <w:rsid w:val="180C01B6"/>
    <w:rsid w:val="18A706B9"/>
    <w:rsid w:val="19B21E3D"/>
    <w:rsid w:val="1A3B555D"/>
    <w:rsid w:val="1A974E89"/>
    <w:rsid w:val="1B666609"/>
    <w:rsid w:val="1BA535D6"/>
    <w:rsid w:val="1D5C5F16"/>
    <w:rsid w:val="1DA358F3"/>
    <w:rsid w:val="1DB44F08"/>
    <w:rsid w:val="1F1840BF"/>
    <w:rsid w:val="1F4D1FBA"/>
    <w:rsid w:val="20CE0ED9"/>
    <w:rsid w:val="22421B7E"/>
    <w:rsid w:val="2309444A"/>
    <w:rsid w:val="2471270F"/>
    <w:rsid w:val="24B71C84"/>
    <w:rsid w:val="253357AE"/>
    <w:rsid w:val="26DF4DEB"/>
    <w:rsid w:val="28292E99"/>
    <w:rsid w:val="28EB19E2"/>
    <w:rsid w:val="2A443FBA"/>
    <w:rsid w:val="2A5D507B"/>
    <w:rsid w:val="2B6C7C6C"/>
    <w:rsid w:val="2CA90A4C"/>
    <w:rsid w:val="2D7B2AB8"/>
    <w:rsid w:val="2E7B1F74"/>
    <w:rsid w:val="2EC61441"/>
    <w:rsid w:val="30585040"/>
    <w:rsid w:val="306D3728"/>
    <w:rsid w:val="308F3B0C"/>
    <w:rsid w:val="326F3B9E"/>
    <w:rsid w:val="32E4633A"/>
    <w:rsid w:val="339C4E66"/>
    <w:rsid w:val="34A51AF9"/>
    <w:rsid w:val="34B63D06"/>
    <w:rsid w:val="34FD7B87"/>
    <w:rsid w:val="36C442CB"/>
    <w:rsid w:val="38CC3AF8"/>
    <w:rsid w:val="396957EB"/>
    <w:rsid w:val="3AFD443D"/>
    <w:rsid w:val="3B2C6AD0"/>
    <w:rsid w:val="3BE41159"/>
    <w:rsid w:val="3BE63A40"/>
    <w:rsid w:val="3D530C17"/>
    <w:rsid w:val="3DC445DF"/>
    <w:rsid w:val="3F0833B0"/>
    <w:rsid w:val="3F1E0E25"/>
    <w:rsid w:val="40273D0A"/>
    <w:rsid w:val="41281FD1"/>
    <w:rsid w:val="43754D8C"/>
    <w:rsid w:val="44407D6F"/>
    <w:rsid w:val="48BD345D"/>
    <w:rsid w:val="49B760FE"/>
    <w:rsid w:val="4CCC3C6F"/>
    <w:rsid w:val="4FC272EF"/>
    <w:rsid w:val="52795F9D"/>
    <w:rsid w:val="532E5683"/>
    <w:rsid w:val="533B1B4E"/>
    <w:rsid w:val="53E43F94"/>
    <w:rsid w:val="55052414"/>
    <w:rsid w:val="559E0172"/>
    <w:rsid w:val="57BD5228"/>
    <w:rsid w:val="581951CD"/>
    <w:rsid w:val="59300929"/>
    <w:rsid w:val="5B212D92"/>
    <w:rsid w:val="5BC24C20"/>
    <w:rsid w:val="5C9A3CC6"/>
    <w:rsid w:val="5CC9164A"/>
    <w:rsid w:val="5DF30008"/>
    <w:rsid w:val="5FEC4AEB"/>
    <w:rsid w:val="616B1851"/>
    <w:rsid w:val="620A3210"/>
    <w:rsid w:val="624A76B8"/>
    <w:rsid w:val="67FF2CF3"/>
    <w:rsid w:val="692C5576"/>
    <w:rsid w:val="6A2133F4"/>
    <w:rsid w:val="6AED32D6"/>
    <w:rsid w:val="6C1E70D4"/>
    <w:rsid w:val="6F8644C3"/>
    <w:rsid w:val="6FC52A74"/>
    <w:rsid w:val="70C66AA3"/>
    <w:rsid w:val="7141437C"/>
    <w:rsid w:val="722A3E69"/>
    <w:rsid w:val="72FA0C86"/>
    <w:rsid w:val="73D47729"/>
    <w:rsid w:val="75B90985"/>
    <w:rsid w:val="764E2281"/>
    <w:rsid w:val="76FD73B4"/>
    <w:rsid w:val="785E799B"/>
    <w:rsid w:val="78763846"/>
    <w:rsid w:val="78C271FD"/>
    <w:rsid w:val="79C21DD2"/>
    <w:rsid w:val="7A5549F4"/>
    <w:rsid w:val="7A996FD7"/>
    <w:rsid w:val="7B8E6410"/>
    <w:rsid w:val="7F285F22"/>
    <w:rsid w:val="7F6D5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next w:val="3"/>
    <w:autoRedefine/>
    <w:qFormat/>
    <w:uiPriority w:val="0"/>
    <w:pPr>
      <w:spacing w:after="120"/>
      <w:ind w:left="420" w:leftChars="200"/>
    </w:pPr>
  </w:style>
  <w:style w:type="paragraph" w:styleId="3">
    <w:name w:val="envelope return"/>
    <w:basedOn w:val="1"/>
    <w:autoRedefine/>
    <w:qFormat/>
    <w:uiPriority w:val="0"/>
    <w:pPr>
      <w:snapToGrid w:val="0"/>
    </w:pPr>
    <w:rPr>
      <w:rFonts w:ascii="Arial" w:hAnsi="Arial"/>
    </w:rPr>
  </w:style>
  <w:style w:type="paragraph" w:styleId="4">
    <w:name w:val="Normal (Web)"/>
    <w:basedOn w:val="1"/>
    <w:autoRedefine/>
    <w:qFormat/>
    <w:uiPriority w:val="0"/>
    <w:pPr>
      <w:spacing w:beforeAutospacing="1" w:afterAutospacing="1"/>
      <w:jc w:val="left"/>
    </w:pPr>
    <w:rPr>
      <w:rFonts w:cs="Times New Roman"/>
      <w:kern w:val="0"/>
      <w:sz w:val="24"/>
    </w:rPr>
  </w:style>
  <w:style w:type="paragraph" w:styleId="5">
    <w:name w:val="Body Text First Indent 2"/>
    <w:basedOn w:val="2"/>
    <w:next w:val="1"/>
    <w:autoRedefine/>
    <w:qFormat/>
    <w:uiPriority w:val="0"/>
    <w:pPr>
      <w:ind w:firstLine="420" w:firstLineChars="200"/>
    </w:p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21"/>
    <w:basedOn w:val="8"/>
    <w:autoRedefine/>
    <w:qFormat/>
    <w:uiPriority w:val="0"/>
    <w:rPr>
      <w:rFonts w:hint="eastAsia" w:ascii="仿宋" w:hAnsi="仿宋" w:eastAsia="仿宋" w:cs="仿宋"/>
      <w:color w:val="000000"/>
      <w:sz w:val="20"/>
      <w:szCs w:val="20"/>
      <w:u w:val="none"/>
    </w:rPr>
  </w:style>
  <w:style w:type="character" w:customStyle="1" w:styleId="10">
    <w:name w:val="font31"/>
    <w:basedOn w:val="8"/>
    <w:autoRedefine/>
    <w:qFormat/>
    <w:uiPriority w:val="0"/>
    <w:rPr>
      <w:rFonts w:ascii="Arial" w:hAnsi="Arial" w:cs="Arial"/>
      <w:color w:val="000000"/>
      <w:sz w:val="20"/>
      <w:szCs w:val="20"/>
      <w:u w:val="none"/>
    </w:rPr>
  </w:style>
  <w:style w:type="paragraph" w:styleId="11">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341</Words>
  <Characters>1944</Characters>
  <Lines>16</Lines>
  <Paragraphs>4</Paragraphs>
  <TotalTime>7</TotalTime>
  <ScaleCrop>false</ScaleCrop>
  <LinksUpToDate>false</LinksUpToDate>
  <CharactersWithSpaces>2281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2023-09-15T09:40:00Z</dcterms:created>
  <dc:creator>刘欢</dc:creator>
  <cp:lastModifiedBy>jin</cp:lastModifiedBy>
  <cp:lastPrinted>2023-09-20T06:06:00Z</cp:lastPrinted>
  <dcterms:modified xsi:type="dcterms:W3CDTF">2024-02-29T02:29:54Z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EFF1CDCB946840D5A5F9A6114D1810B3_13</vt:lpwstr>
  </property>
</Properties>
</file>